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F23B" w14:textId="77777777" w:rsidR="00BF64A8" w:rsidRDefault="00CA34AC">
      <w:pPr>
        <w:pStyle w:val="Corpodetexto"/>
        <w:ind w:left="39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FF04D5" wp14:editId="5D690777">
            <wp:extent cx="732917" cy="7208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17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7ECC" w14:textId="77777777" w:rsidR="00BF64A8" w:rsidRDefault="00CA34AC">
      <w:pPr>
        <w:pStyle w:val="Corpodetexto"/>
        <w:spacing w:before="171"/>
        <w:ind w:left="2662" w:right="2463"/>
        <w:jc w:val="center"/>
      </w:pPr>
      <w:r>
        <w:t>UNIVERSIDADE</w:t>
      </w:r>
      <w:r>
        <w:rPr>
          <w:spacing w:val="13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ESPÍRITO</w:t>
      </w:r>
      <w:r>
        <w:rPr>
          <w:spacing w:val="20"/>
        </w:rPr>
        <w:t xml:space="preserve"> </w:t>
      </w:r>
      <w:r>
        <w:rPr>
          <w:spacing w:val="-4"/>
        </w:rPr>
        <w:t>SANTO</w:t>
      </w:r>
    </w:p>
    <w:p w14:paraId="17FA4F40" w14:textId="77777777" w:rsidR="00BF64A8" w:rsidRDefault="00CA34AC">
      <w:pPr>
        <w:pStyle w:val="Corpodetexto"/>
        <w:spacing w:before="8"/>
        <w:ind w:left="220"/>
        <w:jc w:val="center"/>
      </w:pPr>
      <w:r>
        <w:t>Pró-Reitoria</w:t>
      </w:r>
      <w:r>
        <w:rPr>
          <w:spacing w:val="2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1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Pessoas</w:t>
      </w:r>
    </w:p>
    <w:p w14:paraId="78BEF688" w14:textId="77777777" w:rsidR="00BF64A8" w:rsidRDefault="00BF64A8">
      <w:pPr>
        <w:pStyle w:val="Corpodetexto"/>
      </w:pPr>
    </w:p>
    <w:p w14:paraId="5104A6A8" w14:textId="77777777" w:rsidR="00BF64A8" w:rsidRDefault="00BF64A8">
      <w:pPr>
        <w:pStyle w:val="Corpodetexto"/>
        <w:spacing w:before="22"/>
      </w:pPr>
    </w:p>
    <w:p w14:paraId="3A7A608F" w14:textId="77777777" w:rsidR="00BF64A8" w:rsidRDefault="00CA34AC">
      <w:pPr>
        <w:pStyle w:val="Ttulo"/>
        <w:spacing w:line="247" w:lineRule="auto"/>
      </w:pPr>
      <w:r>
        <w:t>CRONOGRAMA DE FREQUÊNCIA E PROGRAMA DE GESTÃO E DESEMPENHO</w:t>
      </w:r>
    </w:p>
    <w:p w14:paraId="03D72C83" w14:textId="77777777" w:rsidR="00BF64A8" w:rsidRDefault="00BF64A8">
      <w:pPr>
        <w:pStyle w:val="Corpodetexto"/>
        <w:rPr>
          <w:b/>
        </w:rPr>
      </w:pPr>
    </w:p>
    <w:p w14:paraId="70D359E8" w14:textId="77777777" w:rsidR="00BF64A8" w:rsidRDefault="00BF64A8">
      <w:pPr>
        <w:pStyle w:val="Corpodetexto"/>
        <w:spacing w:before="41"/>
        <w:rPr>
          <w:b/>
        </w:rPr>
      </w:pPr>
    </w:p>
    <w:p w14:paraId="772CFB96" w14:textId="1F6E0F8F" w:rsidR="00BF64A8" w:rsidRDefault="00CA34AC">
      <w:pPr>
        <w:pStyle w:val="Corpodetexto"/>
        <w:spacing w:line="247" w:lineRule="auto"/>
        <w:ind w:left="367" w:right="143" w:firstLine="1286"/>
        <w:jc w:val="both"/>
        <w:rPr>
          <w:b/>
        </w:rPr>
      </w:pPr>
      <w:r>
        <w:rPr>
          <w:color w:val="1F1F1F"/>
        </w:rPr>
        <w:t xml:space="preserve">Divulgamos a seguir o cronograma para homologação da frequência e das Entregas do Programa de Gestão e Desempenho do mês de </w:t>
      </w:r>
      <w:r w:rsidR="00B7160E">
        <w:rPr>
          <w:b/>
          <w:color w:val="1F1F1F"/>
        </w:rPr>
        <w:t>Abril</w:t>
      </w:r>
      <w:r>
        <w:rPr>
          <w:b/>
          <w:color w:val="1F1F1F"/>
        </w:rPr>
        <w:t>/202</w:t>
      </w:r>
      <w:r w:rsidR="009C55A2">
        <w:rPr>
          <w:b/>
          <w:color w:val="1F1F1F"/>
        </w:rPr>
        <w:t>5</w:t>
      </w:r>
      <w:r>
        <w:rPr>
          <w:b/>
          <w:color w:val="1F1F1F"/>
        </w:rPr>
        <w:t>.</w:t>
      </w:r>
    </w:p>
    <w:p w14:paraId="13BC8F53" w14:textId="77777777" w:rsidR="00BF64A8" w:rsidRDefault="00BF64A8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231"/>
        <w:gridCol w:w="2585"/>
      </w:tblGrid>
      <w:tr w:rsidR="00BF64A8" w14:paraId="4B05A556" w14:textId="77777777">
        <w:trPr>
          <w:trHeight w:val="264"/>
        </w:trPr>
        <w:tc>
          <w:tcPr>
            <w:tcW w:w="2266" w:type="dxa"/>
          </w:tcPr>
          <w:p w14:paraId="43D310EF" w14:textId="77777777" w:rsidR="00BF64A8" w:rsidRDefault="00CA34AC">
            <w:pPr>
              <w:pStyle w:val="TableParagraph"/>
              <w:spacing w:line="245" w:lineRule="exact"/>
              <w:ind w:left="7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Período</w:t>
            </w:r>
          </w:p>
        </w:tc>
        <w:tc>
          <w:tcPr>
            <w:tcW w:w="3231" w:type="dxa"/>
          </w:tcPr>
          <w:p w14:paraId="133D79FE" w14:textId="77777777" w:rsidR="00BF64A8" w:rsidRDefault="00CA34AC">
            <w:pPr>
              <w:pStyle w:val="TableParagraph"/>
              <w:spacing w:line="245" w:lineRule="exact"/>
              <w:ind w:left="94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Providências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14:paraId="387DBE98" w14:textId="77777777" w:rsidR="00BF64A8" w:rsidRDefault="00CA34AC">
            <w:pPr>
              <w:pStyle w:val="TableParagraph"/>
              <w:spacing w:line="245" w:lineRule="exact"/>
              <w:ind w:left="159" w:right="3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Responsável</w:t>
            </w:r>
          </w:p>
        </w:tc>
      </w:tr>
      <w:tr w:rsidR="00BF64A8" w14:paraId="5F156188" w14:textId="77777777">
        <w:trPr>
          <w:trHeight w:val="429"/>
        </w:trPr>
        <w:tc>
          <w:tcPr>
            <w:tcW w:w="2266" w:type="dxa"/>
            <w:tcBorders>
              <w:bottom w:val="nil"/>
            </w:tcBorders>
          </w:tcPr>
          <w:p w14:paraId="32A49F19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14:paraId="7078472A" w14:textId="77777777" w:rsidR="00BF64A8" w:rsidRDefault="00CA34AC">
            <w:pPr>
              <w:pStyle w:val="TableParagraph"/>
              <w:spacing w:before="146"/>
              <w:ind w:left="731"/>
              <w:rPr>
                <w:sz w:val="21"/>
              </w:rPr>
            </w:pPr>
            <w:r>
              <w:rPr>
                <w:color w:val="1F1F1F"/>
                <w:spacing w:val="-2"/>
                <w:sz w:val="21"/>
              </w:rPr>
              <w:t>Conferência/Inclusão/</w:t>
            </w:r>
          </w:p>
        </w:tc>
        <w:tc>
          <w:tcPr>
            <w:tcW w:w="2585" w:type="dxa"/>
            <w:tcBorders>
              <w:bottom w:val="nil"/>
              <w:right w:val="single" w:sz="6" w:space="0" w:color="000000"/>
            </w:tcBorders>
          </w:tcPr>
          <w:p w14:paraId="514F023B" w14:textId="77777777" w:rsidR="00BF64A8" w:rsidRDefault="00CA34AC">
            <w:pPr>
              <w:pStyle w:val="TableParagraph"/>
              <w:spacing w:before="137"/>
              <w:ind w:left="159" w:right="2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Servidor</w:t>
            </w:r>
          </w:p>
        </w:tc>
      </w:tr>
      <w:tr w:rsidR="00BF64A8" w14:paraId="1D0CAEE1" w14:textId="77777777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14:paraId="524B7EEA" w14:textId="77777777" w:rsidR="00BF64A8" w:rsidRDefault="00CA34AC">
            <w:pPr>
              <w:pStyle w:val="TableParagraph"/>
              <w:spacing w:line="249" w:lineRule="exact"/>
              <w:ind w:left="70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1º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etapa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3550AF0D" w14:textId="77777777" w:rsidR="00BF64A8" w:rsidRDefault="00CA34AC">
            <w:pPr>
              <w:pStyle w:val="TableParagraph"/>
              <w:spacing w:line="249" w:lineRule="exact"/>
              <w:ind w:left="229"/>
              <w:rPr>
                <w:sz w:val="21"/>
              </w:rPr>
            </w:pPr>
            <w:r>
              <w:rPr>
                <w:color w:val="1F1F1F"/>
                <w:sz w:val="21"/>
              </w:rPr>
              <w:t>alteração/exclusão</w:t>
            </w:r>
            <w:r>
              <w:rPr>
                <w:color w:val="1F1F1F"/>
                <w:spacing w:val="15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de</w:t>
            </w:r>
            <w:r>
              <w:rPr>
                <w:color w:val="1F1F1F"/>
                <w:spacing w:val="28"/>
                <w:sz w:val="21"/>
              </w:rPr>
              <w:t xml:space="preserve"> </w:t>
            </w:r>
            <w:r>
              <w:rPr>
                <w:color w:val="1F1F1F"/>
                <w:spacing w:val="-2"/>
                <w:sz w:val="21"/>
              </w:rPr>
              <w:t>registros.</w:t>
            </w: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7358499B" w14:textId="77777777" w:rsidR="00BF64A8" w:rsidRDefault="00CA34AC">
            <w:pPr>
              <w:pStyle w:val="TableParagraph"/>
              <w:spacing w:line="247" w:lineRule="exact"/>
              <w:ind w:left="159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Delegado</w:t>
            </w:r>
          </w:p>
        </w:tc>
      </w:tr>
      <w:tr w:rsidR="00BF64A8" w14:paraId="1749C406" w14:textId="77777777">
        <w:trPr>
          <w:trHeight w:val="1213"/>
        </w:trPr>
        <w:tc>
          <w:tcPr>
            <w:tcW w:w="2266" w:type="dxa"/>
            <w:tcBorders>
              <w:top w:val="nil"/>
              <w:bottom w:val="nil"/>
            </w:tcBorders>
          </w:tcPr>
          <w:p w14:paraId="0A9DB30D" w14:textId="707A0466" w:rsidR="00BF64A8" w:rsidRDefault="00CA34AC">
            <w:pPr>
              <w:pStyle w:val="TableParagraph"/>
              <w:spacing w:before="115"/>
              <w:ind w:left="70" w:right="11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546701">
              <w:rPr>
                <w:sz w:val="21"/>
              </w:rPr>
              <w:t>6</w:t>
            </w:r>
            <w:r>
              <w:rPr>
                <w:sz w:val="21"/>
              </w:rPr>
              <w:t>/</w:t>
            </w:r>
            <w:r w:rsidR="00A37660">
              <w:rPr>
                <w:sz w:val="21"/>
              </w:rPr>
              <w:t>0</w:t>
            </w:r>
            <w:r w:rsidR="00B7160E">
              <w:rPr>
                <w:sz w:val="21"/>
              </w:rPr>
              <w:t>5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0</w:t>
            </w:r>
            <w:r w:rsidR="00546701">
              <w:rPr>
                <w:spacing w:val="-2"/>
                <w:sz w:val="21"/>
              </w:rPr>
              <w:t>7</w:t>
            </w:r>
            <w:r>
              <w:rPr>
                <w:spacing w:val="-2"/>
                <w:sz w:val="21"/>
              </w:rPr>
              <w:t>/</w:t>
            </w:r>
            <w:r w:rsidR="00A37660">
              <w:rPr>
                <w:spacing w:val="-2"/>
                <w:sz w:val="21"/>
              </w:rPr>
              <w:t>0</w:t>
            </w:r>
            <w:r w:rsidR="00B7160E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/202</w:t>
            </w:r>
            <w:r w:rsidR="00A37660">
              <w:rPr>
                <w:spacing w:val="-2"/>
                <w:sz w:val="21"/>
              </w:rPr>
              <w:t>5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5EEAADDF" w14:textId="77777777" w:rsidR="00BF64A8" w:rsidRDefault="00BF64A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C1D2E08" w14:textId="77777777" w:rsidR="00BF64A8" w:rsidRDefault="00CA34AC">
            <w:pPr>
              <w:pStyle w:val="TableParagraph"/>
              <w:ind w:left="12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040E4" wp14:editId="1ED62A72">
                  <wp:extent cx="503017" cy="51968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17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367BE9EF" w14:textId="77777777" w:rsidR="00BF64A8" w:rsidRDefault="00CA34AC">
            <w:pPr>
              <w:pStyle w:val="TableParagraph"/>
              <w:spacing w:line="247" w:lineRule="exact"/>
              <w:ind w:left="1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Chefia</w:t>
            </w:r>
          </w:p>
          <w:p w14:paraId="4ACA4792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4D288C65" w14:textId="77777777" w:rsidR="00BF64A8" w:rsidRDefault="00BF64A8">
            <w:pPr>
              <w:pStyle w:val="TableParagraph"/>
              <w:spacing w:before="30"/>
              <w:rPr>
                <w:b/>
                <w:sz w:val="21"/>
              </w:rPr>
            </w:pPr>
          </w:p>
          <w:p w14:paraId="279EEF29" w14:textId="77777777" w:rsidR="00BF64A8" w:rsidRDefault="00CA34AC">
            <w:pPr>
              <w:pStyle w:val="TableParagraph"/>
              <w:ind w:left="159" w:right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Servidor</w:t>
            </w:r>
          </w:p>
        </w:tc>
      </w:tr>
      <w:tr w:rsidR="00BF64A8" w14:paraId="4F8138BB" w14:textId="77777777">
        <w:trPr>
          <w:trHeight w:val="412"/>
        </w:trPr>
        <w:tc>
          <w:tcPr>
            <w:tcW w:w="2266" w:type="dxa"/>
            <w:tcBorders>
              <w:top w:val="nil"/>
              <w:bottom w:val="nil"/>
            </w:tcBorders>
          </w:tcPr>
          <w:p w14:paraId="03F1E2A4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14:paraId="7190537D" w14:textId="77777777" w:rsidR="00BF64A8" w:rsidRDefault="00CA34AC">
            <w:pPr>
              <w:pStyle w:val="TableParagraph"/>
              <w:spacing w:before="128"/>
              <w:ind w:left="465"/>
              <w:rPr>
                <w:sz w:val="21"/>
              </w:rPr>
            </w:pPr>
            <w:r>
              <w:rPr>
                <w:color w:val="1F1F1F"/>
                <w:sz w:val="21"/>
              </w:rPr>
              <w:t>Conclusão</w:t>
            </w:r>
            <w:r>
              <w:rPr>
                <w:color w:val="1F1F1F"/>
                <w:spacing w:val="17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das</w:t>
            </w:r>
            <w:r>
              <w:rPr>
                <w:color w:val="1F1F1F"/>
                <w:spacing w:val="12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entregas</w:t>
            </w:r>
            <w:r>
              <w:rPr>
                <w:color w:val="1F1F1F"/>
                <w:spacing w:val="16"/>
                <w:sz w:val="21"/>
              </w:rPr>
              <w:t xml:space="preserve"> </w:t>
            </w:r>
            <w:r>
              <w:rPr>
                <w:color w:val="1F1F1F"/>
                <w:spacing w:val="-5"/>
                <w:sz w:val="21"/>
              </w:rPr>
              <w:t>no</w:t>
            </w:r>
          </w:p>
        </w:tc>
        <w:tc>
          <w:tcPr>
            <w:tcW w:w="2585" w:type="dxa"/>
            <w:tcBorders>
              <w:top w:val="nil"/>
              <w:bottom w:val="nil"/>
              <w:right w:val="single" w:sz="6" w:space="0" w:color="000000"/>
            </w:tcBorders>
          </w:tcPr>
          <w:p w14:paraId="48DFDF2A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4A8" w14:paraId="2702DE07" w14:textId="77777777">
        <w:trPr>
          <w:trHeight w:val="947"/>
        </w:trPr>
        <w:tc>
          <w:tcPr>
            <w:tcW w:w="2266" w:type="dxa"/>
            <w:tcBorders>
              <w:top w:val="nil"/>
            </w:tcBorders>
          </w:tcPr>
          <w:p w14:paraId="2B6A3C0C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1" w:type="dxa"/>
            <w:tcBorders>
              <w:top w:val="nil"/>
            </w:tcBorders>
          </w:tcPr>
          <w:p w14:paraId="258E513B" w14:textId="2224B890" w:rsidR="00BF64A8" w:rsidRDefault="00B7160E">
            <w:pPr>
              <w:pStyle w:val="TableParagraph"/>
              <w:spacing w:line="248" w:lineRule="exact"/>
              <w:ind w:left="1117"/>
              <w:rPr>
                <w:sz w:val="21"/>
              </w:rPr>
            </w:pPr>
            <w:r>
              <w:rPr>
                <w:color w:val="1F1F1F"/>
                <w:sz w:val="21"/>
              </w:rPr>
              <w:t>Polare</w:t>
            </w:r>
            <w:r w:rsidR="00CA34AC">
              <w:rPr>
                <w:color w:val="1F1F1F"/>
                <w:spacing w:val="7"/>
                <w:sz w:val="21"/>
              </w:rPr>
              <w:t xml:space="preserve"> </w:t>
            </w:r>
            <w:r w:rsidR="00CA34AC">
              <w:rPr>
                <w:color w:val="1F1F1F"/>
                <w:sz w:val="21"/>
              </w:rPr>
              <w:t>-</w:t>
            </w:r>
            <w:r w:rsidR="00CA34AC">
              <w:rPr>
                <w:color w:val="1F1F1F"/>
                <w:spacing w:val="10"/>
                <w:sz w:val="21"/>
              </w:rPr>
              <w:t xml:space="preserve"> </w:t>
            </w:r>
            <w:r w:rsidR="00CA34AC">
              <w:rPr>
                <w:color w:val="1F1F1F"/>
                <w:spacing w:val="-5"/>
                <w:sz w:val="21"/>
              </w:rPr>
              <w:t>PGD</w:t>
            </w:r>
          </w:p>
        </w:tc>
        <w:tc>
          <w:tcPr>
            <w:tcW w:w="2585" w:type="dxa"/>
            <w:tcBorders>
              <w:top w:val="nil"/>
              <w:right w:val="single" w:sz="6" w:space="0" w:color="000000"/>
            </w:tcBorders>
          </w:tcPr>
          <w:p w14:paraId="5FCF191A" w14:textId="77777777" w:rsidR="00BF64A8" w:rsidRDefault="00BF6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4A8" w14:paraId="7D47AEFD" w14:textId="77777777">
        <w:trPr>
          <w:trHeight w:val="2545"/>
        </w:trPr>
        <w:tc>
          <w:tcPr>
            <w:tcW w:w="2266" w:type="dxa"/>
          </w:tcPr>
          <w:p w14:paraId="340C7561" w14:textId="77777777" w:rsidR="00BF64A8" w:rsidRDefault="00CA34AC">
            <w:pPr>
              <w:pStyle w:val="TableParagraph"/>
              <w:spacing w:before="133"/>
              <w:ind w:left="70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2º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etapa</w:t>
            </w:r>
          </w:p>
          <w:p w14:paraId="5CFFE4FA" w14:textId="7D30D7D2" w:rsidR="00BF64A8" w:rsidRDefault="00332FD8">
            <w:pPr>
              <w:pStyle w:val="TableParagraph"/>
              <w:spacing w:before="142"/>
              <w:ind w:left="70" w:right="23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="00546701">
              <w:rPr>
                <w:sz w:val="21"/>
              </w:rPr>
              <w:t>8</w:t>
            </w:r>
            <w:r w:rsidR="00CA34AC">
              <w:rPr>
                <w:sz w:val="21"/>
              </w:rPr>
              <w:t>/</w:t>
            </w:r>
            <w:r w:rsidR="00A37660">
              <w:rPr>
                <w:sz w:val="21"/>
              </w:rPr>
              <w:t>0</w:t>
            </w:r>
            <w:r w:rsidR="00B7160E">
              <w:rPr>
                <w:sz w:val="21"/>
              </w:rPr>
              <w:t>5</w:t>
            </w:r>
            <w:r w:rsidR="00CA34AC">
              <w:rPr>
                <w:spacing w:val="9"/>
                <w:sz w:val="21"/>
              </w:rPr>
              <w:t xml:space="preserve"> </w:t>
            </w:r>
            <w:r w:rsidR="00CA34AC">
              <w:rPr>
                <w:sz w:val="21"/>
              </w:rPr>
              <w:t>a</w:t>
            </w:r>
            <w:r w:rsidR="00CA34AC">
              <w:rPr>
                <w:spacing w:val="4"/>
                <w:sz w:val="21"/>
              </w:rPr>
              <w:t xml:space="preserve"> </w:t>
            </w:r>
            <w:r w:rsidR="00A37660">
              <w:rPr>
                <w:spacing w:val="-2"/>
                <w:sz w:val="21"/>
              </w:rPr>
              <w:t>0</w:t>
            </w:r>
            <w:r w:rsidR="00546701">
              <w:rPr>
                <w:spacing w:val="-2"/>
                <w:sz w:val="21"/>
              </w:rPr>
              <w:t>9</w:t>
            </w:r>
            <w:r w:rsidR="00CA34AC">
              <w:rPr>
                <w:spacing w:val="-2"/>
                <w:sz w:val="21"/>
              </w:rPr>
              <w:t>/</w:t>
            </w:r>
            <w:r w:rsidR="00A37660">
              <w:rPr>
                <w:spacing w:val="-2"/>
                <w:sz w:val="21"/>
              </w:rPr>
              <w:t>0</w:t>
            </w:r>
            <w:r w:rsidR="00B7160E">
              <w:rPr>
                <w:spacing w:val="-2"/>
                <w:sz w:val="21"/>
              </w:rPr>
              <w:t>5</w:t>
            </w:r>
            <w:r w:rsidR="00CA34AC">
              <w:rPr>
                <w:spacing w:val="-2"/>
                <w:sz w:val="21"/>
              </w:rPr>
              <w:t>/202</w:t>
            </w:r>
            <w:r w:rsidR="00A37660">
              <w:rPr>
                <w:spacing w:val="-2"/>
                <w:sz w:val="21"/>
              </w:rPr>
              <w:t>5</w:t>
            </w:r>
          </w:p>
        </w:tc>
        <w:tc>
          <w:tcPr>
            <w:tcW w:w="3231" w:type="dxa"/>
          </w:tcPr>
          <w:p w14:paraId="60002362" w14:textId="77777777" w:rsidR="00BF64A8" w:rsidRDefault="00CA34AC">
            <w:pPr>
              <w:pStyle w:val="TableParagraph"/>
              <w:spacing w:before="4" w:line="256" w:lineRule="auto"/>
              <w:ind w:left="1156" w:right="24" w:hanging="267"/>
              <w:rPr>
                <w:sz w:val="21"/>
              </w:rPr>
            </w:pPr>
            <w:r>
              <w:rPr>
                <w:sz w:val="21"/>
              </w:rPr>
              <w:t>Homologação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da </w:t>
            </w:r>
            <w:r>
              <w:rPr>
                <w:spacing w:val="-2"/>
                <w:sz w:val="21"/>
              </w:rPr>
              <w:t>frequência</w:t>
            </w:r>
          </w:p>
          <w:p w14:paraId="005A5B45" w14:textId="77777777" w:rsidR="00BF64A8" w:rsidRDefault="00BF64A8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56C126D" w14:textId="77777777" w:rsidR="00BF64A8" w:rsidRDefault="00CA34AC">
            <w:pPr>
              <w:pStyle w:val="TableParagraph"/>
              <w:ind w:left="1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7130F" wp14:editId="0B12F068">
                  <wp:extent cx="501449" cy="51968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49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BA775" w14:textId="02224318" w:rsidR="00BF64A8" w:rsidRDefault="00CA34AC">
            <w:pPr>
              <w:pStyle w:val="TableParagraph"/>
              <w:spacing w:before="111" w:line="208" w:lineRule="auto"/>
              <w:ind w:left="892" w:right="1133"/>
              <w:rPr>
                <w:sz w:val="21"/>
              </w:rPr>
            </w:pPr>
            <w:r>
              <w:rPr>
                <w:sz w:val="21"/>
              </w:rPr>
              <w:t>Avaliação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das </w:t>
            </w:r>
            <w:r>
              <w:rPr>
                <w:spacing w:val="-2"/>
                <w:sz w:val="21"/>
              </w:rPr>
              <w:t xml:space="preserve">entregas </w:t>
            </w:r>
            <w:r w:rsidR="00B7160E">
              <w:rPr>
                <w:sz w:val="21"/>
              </w:rPr>
              <w:t>Polare</w:t>
            </w:r>
            <w:r>
              <w:rPr>
                <w:sz w:val="21"/>
              </w:rPr>
              <w:t xml:space="preserve"> - PGD</w:t>
            </w:r>
          </w:p>
        </w:tc>
        <w:tc>
          <w:tcPr>
            <w:tcW w:w="2585" w:type="dxa"/>
            <w:tcBorders>
              <w:right w:val="single" w:sz="6" w:space="0" w:color="000000"/>
            </w:tcBorders>
          </w:tcPr>
          <w:p w14:paraId="6023FCC8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5FA57738" w14:textId="77777777" w:rsidR="00BF64A8" w:rsidRDefault="00BF64A8">
            <w:pPr>
              <w:pStyle w:val="TableParagraph"/>
              <w:rPr>
                <w:b/>
                <w:sz w:val="21"/>
              </w:rPr>
            </w:pPr>
          </w:p>
          <w:p w14:paraId="69DB9521" w14:textId="77777777" w:rsidR="00BF64A8" w:rsidRDefault="00BF64A8">
            <w:pPr>
              <w:pStyle w:val="TableParagraph"/>
              <w:spacing w:before="156"/>
              <w:rPr>
                <w:b/>
                <w:sz w:val="21"/>
              </w:rPr>
            </w:pPr>
          </w:p>
          <w:p w14:paraId="27F50182" w14:textId="77777777" w:rsidR="00BF64A8" w:rsidRDefault="00CA34AC">
            <w:pPr>
              <w:pStyle w:val="TableParagraph"/>
              <w:ind w:left="159" w:righ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Chefia</w:t>
            </w:r>
          </w:p>
        </w:tc>
      </w:tr>
    </w:tbl>
    <w:p w14:paraId="42112D26" w14:textId="77777777" w:rsidR="00BF64A8" w:rsidRDefault="00BF64A8">
      <w:pPr>
        <w:pStyle w:val="Corpodetexto"/>
        <w:spacing w:before="37"/>
        <w:rPr>
          <w:b/>
        </w:rPr>
      </w:pPr>
    </w:p>
    <w:p w14:paraId="27FDF3C8" w14:textId="77777777" w:rsidR="00BF64A8" w:rsidRDefault="00CA34AC">
      <w:pPr>
        <w:pStyle w:val="Corpodetexto"/>
        <w:spacing w:before="1" w:line="252" w:lineRule="auto"/>
        <w:ind w:left="367" w:right="102" w:firstLine="1286"/>
        <w:jc w:val="both"/>
      </w:pPr>
      <w:r>
        <w:rPr>
          <w:color w:val="1F1F1F"/>
        </w:rPr>
        <w:t>Informamos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homologação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da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frequência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Sistema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Registro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 xml:space="preserve">Eletrônico de Frequência (SREF) deve ser realizada em duas etapas: </w:t>
      </w:r>
      <w:r>
        <w:rPr>
          <w:b/>
          <w:color w:val="1F1F1F"/>
        </w:rPr>
        <w:t xml:space="preserve">(1º) </w:t>
      </w:r>
      <w:r>
        <w:t>Verificar se todos os registros de ocorrências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servidor</w:t>
      </w:r>
      <w:r>
        <w:rPr>
          <w:spacing w:val="40"/>
        </w:rPr>
        <w:t xml:space="preserve"> </w:t>
      </w:r>
      <w:r>
        <w:t>(ausências,</w:t>
      </w:r>
      <w:r>
        <w:rPr>
          <w:spacing w:val="40"/>
        </w:rPr>
        <w:t xml:space="preserve"> </w:t>
      </w:r>
      <w:r>
        <w:t>serviço</w:t>
      </w:r>
      <w:r>
        <w:rPr>
          <w:spacing w:val="40"/>
        </w:rPr>
        <w:t xml:space="preserve"> </w:t>
      </w:r>
      <w:r>
        <w:t>externo,</w:t>
      </w:r>
      <w:r>
        <w:rPr>
          <w:spacing w:val="40"/>
        </w:rPr>
        <w:t xml:space="preserve"> </w:t>
      </w:r>
      <w:r>
        <w:t>compensações,</w:t>
      </w:r>
      <w:r>
        <w:rPr>
          <w:spacing w:val="40"/>
        </w:rPr>
        <w:t xml:space="preserve"> </w:t>
      </w:r>
      <w:r>
        <w:t>etc.)</w:t>
      </w:r>
      <w:r>
        <w:rPr>
          <w:spacing w:val="40"/>
        </w:rPr>
        <w:t xml:space="preserve"> </w:t>
      </w:r>
      <w:r>
        <w:t>foram</w:t>
      </w:r>
      <w:r>
        <w:rPr>
          <w:spacing w:val="40"/>
        </w:rPr>
        <w:t xml:space="preserve"> </w:t>
      </w:r>
      <w:r>
        <w:t>inseridos</w:t>
      </w:r>
      <w:r>
        <w:rPr>
          <w:spacing w:val="40"/>
        </w:rPr>
        <w:t xml:space="preserve"> </w:t>
      </w:r>
      <w:r>
        <w:t xml:space="preserve">no sistema e enviar para o boletim e </w:t>
      </w:r>
      <w:r>
        <w:rPr>
          <w:b/>
        </w:rPr>
        <w:t xml:space="preserve">(2º) </w:t>
      </w:r>
      <w:r>
        <w:t>Homologar e enviar o boletim ao DGP.</w:t>
      </w:r>
    </w:p>
    <w:p w14:paraId="547E057D" w14:textId="77777777" w:rsidR="00BF64A8" w:rsidRDefault="00BF64A8">
      <w:pPr>
        <w:pStyle w:val="Corpodetexto"/>
      </w:pPr>
    </w:p>
    <w:p w14:paraId="01A57158" w14:textId="77777777" w:rsidR="00BF64A8" w:rsidRDefault="00BF64A8">
      <w:pPr>
        <w:pStyle w:val="Corpodetexto"/>
        <w:spacing w:before="18"/>
      </w:pPr>
    </w:p>
    <w:p w14:paraId="42F9E3C8" w14:textId="02188588" w:rsidR="00BF64A8" w:rsidRDefault="00CA34AC">
      <w:pPr>
        <w:pStyle w:val="Corpodetexto"/>
        <w:spacing w:line="249" w:lineRule="auto"/>
        <w:ind w:left="367" w:right="507" w:firstLine="1202"/>
      </w:pPr>
      <w:r>
        <w:t xml:space="preserve">O procedimento detalhado para homologação da frequência está disponível no </w:t>
      </w:r>
      <w:r>
        <w:rPr>
          <w:spacing w:val="-2"/>
        </w:rPr>
        <w:t>link:</w:t>
      </w:r>
      <w:r>
        <w:t xml:space="preserve"> </w:t>
      </w:r>
      <w:r w:rsidRPr="00CA34AC">
        <w:t>https://progep.ufes.br/sites/progep.ufes.br/files/field/anexo/procedimentos_frequencia_20190903.pdf</w:t>
      </w:r>
    </w:p>
    <w:p w14:paraId="07A44CF2" w14:textId="77777777" w:rsidR="00BF64A8" w:rsidRDefault="00BF64A8">
      <w:pPr>
        <w:spacing w:line="249" w:lineRule="auto"/>
        <w:sectPr w:rsidR="00BF64A8">
          <w:type w:val="continuous"/>
          <w:pgSz w:w="11910" w:h="16840"/>
          <w:pgMar w:top="980" w:right="1140" w:bottom="280" w:left="1680" w:header="720" w:footer="720" w:gutter="0"/>
          <w:cols w:space="720"/>
        </w:sectPr>
      </w:pPr>
    </w:p>
    <w:p w14:paraId="4528A453" w14:textId="6CA65940" w:rsidR="00BF64A8" w:rsidRDefault="00CA34AC">
      <w:pPr>
        <w:pStyle w:val="Corpodetexto"/>
        <w:spacing w:before="45" w:line="247" w:lineRule="auto"/>
        <w:ind w:left="2224" w:right="104"/>
        <w:jc w:val="both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09D83F8" wp14:editId="65DCB827">
            <wp:simplePos x="0" y="0"/>
            <wp:positionH relativeFrom="page">
              <wp:posOffset>1758695</wp:posOffset>
            </wp:positionH>
            <wp:positionV relativeFrom="paragraph">
              <wp:posOffset>24383</wp:posOffset>
            </wp:positionV>
            <wp:extent cx="499871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39"/>
        </w:rPr>
        <w:t xml:space="preserve"> </w:t>
      </w:r>
      <w:r>
        <w:t>homologação</w:t>
      </w:r>
      <w:r>
        <w:rPr>
          <w:spacing w:val="38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entregas</w:t>
      </w:r>
      <w:r>
        <w:rPr>
          <w:spacing w:val="39"/>
        </w:rPr>
        <w:t xml:space="preserve"> </w:t>
      </w:r>
      <w:r>
        <w:t>no</w:t>
      </w:r>
      <w:r>
        <w:rPr>
          <w:spacing w:val="35"/>
        </w:rPr>
        <w:t xml:space="preserve"> </w:t>
      </w:r>
      <w:r w:rsidR="00B7160E">
        <w:t>Polare</w:t>
      </w:r>
      <w:r>
        <w:rPr>
          <w:spacing w:val="40"/>
        </w:rPr>
        <w:t xml:space="preserve"> </w:t>
      </w:r>
      <w:r>
        <w:rPr>
          <w:color w:val="1F1F1F"/>
        </w:rPr>
        <w:t>deve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ser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realizada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em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duas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etapas: </w:t>
      </w:r>
      <w:r>
        <w:rPr>
          <w:b/>
          <w:color w:val="1F1F1F"/>
        </w:rPr>
        <w:t xml:space="preserve">(1º) </w:t>
      </w:r>
      <w:r>
        <w:t xml:space="preserve">O servidor conclui as entregas do mês e </w:t>
      </w:r>
      <w:r>
        <w:rPr>
          <w:b/>
        </w:rPr>
        <w:t xml:space="preserve">(2º) </w:t>
      </w:r>
      <w:r>
        <w:t>Chefia imediata avalia as entregas</w:t>
      </w:r>
      <w:r w:rsidR="00B7160E">
        <w:t>.</w:t>
      </w:r>
    </w:p>
    <w:p w14:paraId="4334D7C6" w14:textId="77777777" w:rsidR="00BF64A8" w:rsidRDefault="00BF64A8">
      <w:pPr>
        <w:pStyle w:val="Corpodetexto"/>
        <w:spacing w:before="16"/>
      </w:pPr>
    </w:p>
    <w:p w14:paraId="5D4695AE" w14:textId="77777777" w:rsidR="00BF64A8" w:rsidRDefault="00CA34AC">
      <w:pPr>
        <w:pStyle w:val="Corpodetexto"/>
        <w:spacing w:before="1" w:line="252" w:lineRule="auto"/>
        <w:ind w:left="367" w:right="507" w:firstLine="1202"/>
      </w:pPr>
      <w:r>
        <w:t>O procedimento detalhado para avaliação do PGD está disponível no link: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https://pgd.ufes.br/sistema</w:t>
      </w:r>
    </w:p>
    <w:p w14:paraId="77E90A60" w14:textId="77777777" w:rsidR="00BF64A8" w:rsidRDefault="00CA34AC">
      <w:pPr>
        <w:pStyle w:val="Corpodetexto"/>
        <w:spacing w:before="249"/>
        <w:ind w:left="367"/>
      </w:pPr>
      <w:r>
        <w:t>Observações</w:t>
      </w:r>
      <w:r>
        <w:rPr>
          <w:spacing w:val="21"/>
        </w:rPr>
        <w:t xml:space="preserve"> </w:t>
      </w:r>
      <w:r>
        <w:rPr>
          <w:spacing w:val="-2"/>
        </w:rPr>
        <w:t>específicas:</w:t>
      </w:r>
    </w:p>
    <w:p w14:paraId="424000BB" w14:textId="77777777" w:rsidR="00BF64A8" w:rsidRDefault="00CA34AC">
      <w:pPr>
        <w:pStyle w:val="PargrafodaLista"/>
        <w:numPr>
          <w:ilvl w:val="0"/>
          <w:numId w:val="1"/>
        </w:numPr>
        <w:tabs>
          <w:tab w:val="left" w:pos="1021"/>
        </w:tabs>
        <w:spacing w:before="41"/>
        <w:ind w:left="1021" w:hanging="328"/>
        <w:rPr>
          <w:b/>
          <w:sz w:val="19"/>
        </w:rPr>
      </w:pPr>
      <w:r>
        <w:rPr>
          <w:color w:val="1F1F1F"/>
          <w:sz w:val="21"/>
        </w:rPr>
        <w:t>O</w:t>
      </w:r>
      <w:r>
        <w:rPr>
          <w:color w:val="1F1F1F"/>
          <w:spacing w:val="7"/>
          <w:sz w:val="21"/>
        </w:rPr>
        <w:t xml:space="preserve"> </w:t>
      </w:r>
      <w:r>
        <w:rPr>
          <w:color w:val="1F1F1F"/>
          <w:sz w:val="21"/>
        </w:rPr>
        <w:t>servidor</w:t>
      </w:r>
      <w:r>
        <w:rPr>
          <w:color w:val="1F1F1F"/>
          <w:spacing w:val="14"/>
          <w:sz w:val="21"/>
        </w:rPr>
        <w:t xml:space="preserve"> </w:t>
      </w:r>
      <w:r>
        <w:rPr>
          <w:color w:val="1F1F1F"/>
          <w:sz w:val="21"/>
        </w:rPr>
        <w:t>e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sz w:val="21"/>
        </w:rPr>
        <w:t>chefia</w:t>
      </w:r>
      <w:r>
        <w:rPr>
          <w:color w:val="1F1F1F"/>
          <w:spacing w:val="26"/>
          <w:sz w:val="21"/>
        </w:rPr>
        <w:t xml:space="preserve"> </w:t>
      </w:r>
      <w:r>
        <w:rPr>
          <w:color w:val="1F1F1F"/>
          <w:sz w:val="21"/>
        </w:rPr>
        <w:t>devem</w:t>
      </w:r>
      <w:r>
        <w:rPr>
          <w:color w:val="1F1F1F"/>
          <w:spacing w:val="14"/>
          <w:sz w:val="21"/>
        </w:rPr>
        <w:t xml:space="preserve"> </w:t>
      </w:r>
      <w:r>
        <w:rPr>
          <w:color w:val="1F1F1F"/>
          <w:sz w:val="21"/>
        </w:rPr>
        <w:t>registrar</w:t>
      </w:r>
      <w:r>
        <w:rPr>
          <w:color w:val="1F1F1F"/>
          <w:spacing w:val="10"/>
          <w:sz w:val="21"/>
        </w:rPr>
        <w:t xml:space="preserve"> </w:t>
      </w:r>
      <w:r>
        <w:rPr>
          <w:color w:val="1F1F1F"/>
          <w:sz w:val="21"/>
        </w:rPr>
        <w:t>todas</w:t>
      </w:r>
      <w:r>
        <w:rPr>
          <w:color w:val="1F1F1F"/>
          <w:spacing w:val="30"/>
          <w:sz w:val="21"/>
        </w:rPr>
        <w:t xml:space="preserve"> </w:t>
      </w:r>
      <w:r>
        <w:rPr>
          <w:color w:val="1F1F1F"/>
          <w:sz w:val="21"/>
        </w:rPr>
        <w:t>as</w:t>
      </w:r>
      <w:r>
        <w:rPr>
          <w:color w:val="1F1F1F"/>
          <w:spacing w:val="21"/>
          <w:sz w:val="21"/>
        </w:rPr>
        <w:t xml:space="preserve"> </w:t>
      </w:r>
      <w:r>
        <w:rPr>
          <w:color w:val="1F1F1F"/>
          <w:sz w:val="21"/>
        </w:rPr>
        <w:t>compensações</w:t>
      </w:r>
      <w:r>
        <w:rPr>
          <w:color w:val="1F1F1F"/>
          <w:spacing w:val="26"/>
          <w:sz w:val="21"/>
        </w:rPr>
        <w:t xml:space="preserve"> </w:t>
      </w:r>
      <w:r>
        <w:rPr>
          <w:color w:val="1F1F1F"/>
          <w:sz w:val="21"/>
        </w:rPr>
        <w:t>realizadas</w:t>
      </w:r>
      <w:r>
        <w:rPr>
          <w:color w:val="1F1F1F"/>
          <w:spacing w:val="26"/>
          <w:sz w:val="21"/>
        </w:rPr>
        <w:t xml:space="preserve"> </w:t>
      </w:r>
      <w:r>
        <w:rPr>
          <w:color w:val="1F1F1F"/>
          <w:sz w:val="21"/>
        </w:rPr>
        <w:t>no</w:t>
      </w:r>
      <w:r>
        <w:rPr>
          <w:color w:val="1F1F1F"/>
          <w:spacing w:val="12"/>
          <w:sz w:val="21"/>
        </w:rPr>
        <w:t xml:space="preserve"> </w:t>
      </w:r>
      <w:r>
        <w:rPr>
          <w:color w:val="1F1F1F"/>
          <w:sz w:val="21"/>
        </w:rPr>
        <w:t>mês</w:t>
      </w:r>
      <w:r>
        <w:rPr>
          <w:color w:val="1F1F1F"/>
          <w:spacing w:val="30"/>
          <w:sz w:val="21"/>
        </w:rPr>
        <w:t xml:space="preserve"> </w:t>
      </w:r>
      <w:r>
        <w:rPr>
          <w:color w:val="1F1F1F"/>
          <w:sz w:val="21"/>
        </w:rPr>
        <w:t>até</w:t>
      </w:r>
      <w:r>
        <w:rPr>
          <w:color w:val="1F1F1F"/>
          <w:spacing w:val="17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14"/>
          <w:sz w:val="21"/>
        </w:rPr>
        <w:t xml:space="preserve"> </w:t>
      </w:r>
      <w:r>
        <w:rPr>
          <w:color w:val="1F1F1F"/>
          <w:spacing w:val="-5"/>
          <w:sz w:val="21"/>
        </w:rPr>
        <w:t>dia</w:t>
      </w:r>
    </w:p>
    <w:p w14:paraId="2C68E984" w14:textId="57F17185" w:rsidR="00BF64A8" w:rsidRDefault="00CA34AC">
      <w:pPr>
        <w:spacing w:before="10"/>
        <w:ind w:left="1022"/>
        <w:rPr>
          <w:b/>
          <w:sz w:val="19"/>
        </w:rPr>
      </w:pPr>
      <w:r>
        <w:rPr>
          <w:b/>
          <w:color w:val="1F1F1F"/>
          <w:spacing w:val="-2"/>
          <w:w w:val="105"/>
          <w:sz w:val="19"/>
        </w:rPr>
        <w:t>0</w:t>
      </w:r>
      <w:r w:rsidR="00546701">
        <w:rPr>
          <w:b/>
          <w:color w:val="1F1F1F"/>
          <w:spacing w:val="-2"/>
          <w:w w:val="105"/>
          <w:sz w:val="19"/>
        </w:rPr>
        <w:t>7</w:t>
      </w:r>
      <w:r>
        <w:rPr>
          <w:b/>
          <w:color w:val="1F1F1F"/>
          <w:spacing w:val="-2"/>
          <w:w w:val="105"/>
          <w:sz w:val="19"/>
        </w:rPr>
        <w:t>/</w:t>
      </w:r>
      <w:r w:rsidR="00A37660">
        <w:rPr>
          <w:b/>
          <w:color w:val="1F1F1F"/>
          <w:spacing w:val="-2"/>
          <w:w w:val="105"/>
          <w:sz w:val="19"/>
        </w:rPr>
        <w:t>0</w:t>
      </w:r>
      <w:r w:rsidR="00B7160E">
        <w:rPr>
          <w:b/>
          <w:color w:val="1F1F1F"/>
          <w:spacing w:val="-2"/>
          <w:w w:val="105"/>
          <w:sz w:val="19"/>
        </w:rPr>
        <w:t>5</w:t>
      </w:r>
      <w:r>
        <w:rPr>
          <w:b/>
          <w:color w:val="1F1F1F"/>
          <w:spacing w:val="-2"/>
          <w:w w:val="105"/>
          <w:sz w:val="19"/>
        </w:rPr>
        <w:t>/202</w:t>
      </w:r>
      <w:r w:rsidR="00A37660">
        <w:rPr>
          <w:b/>
          <w:color w:val="1F1F1F"/>
          <w:spacing w:val="-2"/>
          <w:w w:val="105"/>
          <w:sz w:val="19"/>
        </w:rPr>
        <w:t>5</w:t>
      </w:r>
    </w:p>
    <w:p w14:paraId="4FD32FCA" w14:textId="390A03F8" w:rsidR="00BF64A8" w:rsidRDefault="00CA34AC">
      <w:pPr>
        <w:pStyle w:val="PargrafodaLista"/>
        <w:numPr>
          <w:ilvl w:val="0"/>
          <w:numId w:val="1"/>
        </w:numPr>
        <w:tabs>
          <w:tab w:val="left" w:pos="1020"/>
          <w:tab w:val="left" w:pos="1022"/>
        </w:tabs>
        <w:spacing w:before="22" w:line="249" w:lineRule="auto"/>
        <w:ind w:right="142"/>
        <w:jc w:val="both"/>
        <w:rPr>
          <w:b/>
          <w:sz w:val="21"/>
        </w:rPr>
      </w:pPr>
      <w:r>
        <w:rPr>
          <w:sz w:val="21"/>
        </w:rPr>
        <w:t>Durante o período de férias, afastamentos ou impedimentos legais ou regulamentares do titular da função, a responsabilidade pelo envio da frequência recai sobre o substituto devidamente designado. Na ausência do titular da função e do substituto, a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responsabilidade pelo envio da frequência passa a ser do</w:t>
      </w:r>
      <w:r w:rsidR="00B7160E">
        <w:rPr>
          <w:sz w:val="21"/>
        </w:rPr>
        <w:t xml:space="preserve"> </w:t>
      </w:r>
      <w:r>
        <w:rPr>
          <w:sz w:val="21"/>
        </w:rPr>
        <w:t>superior</w:t>
      </w:r>
      <w:r w:rsidR="00B7160E">
        <w:rPr>
          <w:sz w:val="21"/>
        </w:rPr>
        <w:t xml:space="preserve"> </w:t>
      </w:r>
      <w:r>
        <w:rPr>
          <w:sz w:val="21"/>
        </w:rPr>
        <w:t>hierárquico.</w:t>
      </w:r>
    </w:p>
    <w:p w14:paraId="73DD331E" w14:textId="504704AE" w:rsidR="00BF64A8" w:rsidRDefault="00CA34AC">
      <w:pPr>
        <w:pStyle w:val="PargrafodaLista"/>
        <w:numPr>
          <w:ilvl w:val="0"/>
          <w:numId w:val="1"/>
        </w:numPr>
        <w:tabs>
          <w:tab w:val="left" w:pos="1020"/>
          <w:tab w:val="left" w:pos="1022"/>
          <w:tab w:val="left" w:pos="2242"/>
          <w:tab w:val="left" w:pos="3554"/>
          <w:tab w:val="left" w:pos="4211"/>
        </w:tabs>
        <w:spacing w:line="249" w:lineRule="auto"/>
        <w:ind w:right="241"/>
        <w:rPr>
          <w:b/>
          <w:color w:val="1F1F1F"/>
          <w:sz w:val="21"/>
        </w:rPr>
      </w:pPr>
      <w:r>
        <w:rPr>
          <w:color w:val="1F1F1F"/>
          <w:sz w:val="21"/>
        </w:rPr>
        <w:t>As ausências não compensadas no prazo serão incluídas pela chefia no boletim de frequência para desconto em pecúnia durante a segunda etapa da homologação. Mais</w:t>
      </w:r>
      <w:r>
        <w:rPr>
          <w:color w:val="1F1F1F"/>
          <w:spacing w:val="40"/>
          <w:sz w:val="21"/>
        </w:rPr>
        <w:t xml:space="preserve"> </w:t>
      </w:r>
      <w:r>
        <w:rPr>
          <w:color w:val="1F1F1F"/>
          <w:sz w:val="21"/>
        </w:rPr>
        <w:t>informações</w:t>
      </w:r>
      <w:r>
        <w:rPr>
          <w:color w:val="1F1F1F"/>
          <w:spacing w:val="31"/>
          <w:sz w:val="21"/>
        </w:rPr>
        <w:t xml:space="preserve"> </w:t>
      </w:r>
      <w:r>
        <w:rPr>
          <w:color w:val="1F1F1F"/>
          <w:sz w:val="21"/>
        </w:rPr>
        <w:t>verifique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sz w:val="21"/>
        </w:rPr>
        <w:t>o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sz w:val="21"/>
        </w:rPr>
        <w:t>Tutorial</w:t>
      </w:r>
      <w:r>
        <w:rPr>
          <w:color w:val="1F1F1F"/>
          <w:spacing w:val="31"/>
          <w:sz w:val="21"/>
        </w:rPr>
        <w:t xml:space="preserve"> </w:t>
      </w:r>
      <w:r>
        <w:rPr>
          <w:color w:val="1F1F1F"/>
          <w:sz w:val="21"/>
        </w:rPr>
        <w:t>de</w:t>
      </w:r>
      <w:r>
        <w:rPr>
          <w:color w:val="1F1F1F"/>
          <w:spacing w:val="31"/>
          <w:sz w:val="21"/>
        </w:rPr>
        <w:t xml:space="preserve"> </w:t>
      </w:r>
      <w:r>
        <w:rPr>
          <w:color w:val="1F1F1F"/>
          <w:sz w:val="21"/>
        </w:rPr>
        <w:t>Homologação</w:t>
      </w:r>
      <w:r>
        <w:rPr>
          <w:color w:val="1F1F1F"/>
          <w:spacing w:val="31"/>
          <w:sz w:val="21"/>
        </w:rPr>
        <w:t xml:space="preserve"> </w:t>
      </w:r>
      <w:r>
        <w:rPr>
          <w:color w:val="1F1F1F"/>
          <w:sz w:val="21"/>
        </w:rPr>
        <w:t>que</w:t>
      </w:r>
      <w:r>
        <w:rPr>
          <w:color w:val="1F1F1F"/>
          <w:spacing w:val="31"/>
          <w:sz w:val="21"/>
        </w:rPr>
        <w:t xml:space="preserve"> </w:t>
      </w:r>
      <w:r>
        <w:rPr>
          <w:color w:val="1F1F1F"/>
          <w:sz w:val="21"/>
        </w:rPr>
        <w:t>foi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sz w:val="21"/>
        </w:rPr>
        <w:t>enviado para</w:t>
      </w:r>
      <w:r>
        <w:rPr>
          <w:color w:val="1F1F1F"/>
          <w:spacing w:val="37"/>
          <w:sz w:val="21"/>
        </w:rPr>
        <w:t xml:space="preserve"> </w:t>
      </w:r>
      <w:r>
        <w:rPr>
          <w:color w:val="1F1F1F"/>
          <w:sz w:val="21"/>
        </w:rPr>
        <w:t>as</w:t>
      </w:r>
      <w:r>
        <w:rPr>
          <w:color w:val="1F1F1F"/>
          <w:spacing w:val="28"/>
          <w:sz w:val="21"/>
        </w:rPr>
        <w:t xml:space="preserve"> </w:t>
      </w:r>
      <w:r>
        <w:rPr>
          <w:color w:val="1F1F1F"/>
          <w:sz w:val="21"/>
        </w:rPr>
        <w:t>chefias via portal</w:t>
      </w:r>
      <w:r>
        <w:rPr>
          <w:color w:val="1F1F1F"/>
          <w:spacing w:val="-18"/>
          <w:sz w:val="21"/>
        </w:rPr>
        <w:t xml:space="preserve"> </w:t>
      </w:r>
      <w:r>
        <w:rPr>
          <w:color w:val="1F1F1F"/>
          <w:sz w:val="21"/>
        </w:rPr>
        <w:t>do</w:t>
      </w:r>
      <w:r>
        <w:rPr>
          <w:color w:val="1F1F1F"/>
          <w:sz w:val="21"/>
        </w:rPr>
        <w:tab/>
      </w:r>
      <w:r>
        <w:rPr>
          <w:color w:val="1F1F1F"/>
          <w:spacing w:val="-2"/>
          <w:sz w:val="21"/>
        </w:rPr>
        <w:t>servidor</w:t>
      </w:r>
      <w:r w:rsidR="00B7160E">
        <w:rPr>
          <w:color w:val="1F1F1F"/>
          <w:spacing w:val="-2"/>
          <w:sz w:val="21"/>
        </w:rPr>
        <w:t xml:space="preserve"> </w:t>
      </w:r>
      <w:r>
        <w:rPr>
          <w:color w:val="1F1F1F"/>
          <w:spacing w:val="-2"/>
          <w:sz w:val="21"/>
        </w:rPr>
        <w:t>e</w:t>
      </w:r>
      <w:r>
        <w:rPr>
          <w:color w:val="1F1F1F"/>
          <w:sz w:val="21"/>
        </w:rPr>
        <w:tab/>
      </w:r>
      <w:r>
        <w:rPr>
          <w:color w:val="1F1F1F"/>
          <w:spacing w:val="-4"/>
          <w:sz w:val="21"/>
        </w:rPr>
        <w:t>que</w:t>
      </w:r>
      <w:r>
        <w:rPr>
          <w:color w:val="1F1F1F"/>
          <w:sz w:val="21"/>
        </w:rPr>
        <w:tab/>
        <w:t xml:space="preserve">consta no </w:t>
      </w:r>
      <w:hyperlink r:id="rId9">
        <w:r>
          <w:rPr>
            <w:color w:val="1F1F1F"/>
            <w:spacing w:val="-2"/>
            <w:sz w:val="21"/>
          </w:rPr>
          <w:t>http://progep.ufes.br/sites/progep.ufes.br/files/field/anexo/tutorial_inclusao_de_ausenc</w:t>
        </w:r>
      </w:hyperlink>
      <w:r>
        <w:rPr>
          <w:color w:val="1F1F1F"/>
          <w:spacing w:val="80"/>
          <w:w w:val="150"/>
          <w:sz w:val="21"/>
        </w:rPr>
        <w:t xml:space="preserve"> </w:t>
      </w:r>
      <w:r>
        <w:rPr>
          <w:color w:val="1F1F1F"/>
          <w:sz w:val="21"/>
        </w:rPr>
        <w:t>ias_na o_compensadas_no_boletim_para_desconto_em_pecunia.pdf.</w:t>
      </w:r>
    </w:p>
    <w:sectPr w:rsidR="00BF64A8">
      <w:pgSz w:w="11910" w:h="16840"/>
      <w:pgMar w:top="146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954AA"/>
    <w:multiLevelType w:val="hybridMultilevel"/>
    <w:tmpl w:val="77EE40EA"/>
    <w:lvl w:ilvl="0" w:tplc="C59C68D8">
      <w:start w:val="1"/>
      <w:numFmt w:val="decimal"/>
      <w:lvlText w:val="%1)"/>
      <w:lvlJc w:val="left"/>
      <w:pPr>
        <w:ind w:left="1022" w:hanging="329"/>
        <w:jc w:val="left"/>
      </w:pPr>
      <w:rPr>
        <w:rFonts w:hint="default"/>
        <w:spacing w:val="-23"/>
        <w:w w:val="103"/>
        <w:lang w:val="pt-PT" w:eastAsia="en-US" w:bidi="ar-SA"/>
      </w:rPr>
    </w:lvl>
    <w:lvl w:ilvl="1" w:tplc="A468D750">
      <w:numFmt w:val="bullet"/>
      <w:lvlText w:val="•"/>
      <w:lvlJc w:val="left"/>
      <w:pPr>
        <w:ind w:left="1826" w:hanging="329"/>
      </w:pPr>
      <w:rPr>
        <w:rFonts w:hint="default"/>
        <w:lang w:val="pt-PT" w:eastAsia="en-US" w:bidi="ar-SA"/>
      </w:rPr>
    </w:lvl>
    <w:lvl w:ilvl="2" w:tplc="9326939C">
      <w:numFmt w:val="bullet"/>
      <w:lvlText w:val="•"/>
      <w:lvlJc w:val="left"/>
      <w:pPr>
        <w:ind w:left="2633" w:hanging="329"/>
      </w:pPr>
      <w:rPr>
        <w:rFonts w:hint="default"/>
        <w:lang w:val="pt-PT" w:eastAsia="en-US" w:bidi="ar-SA"/>
      </w:rPr>
    </w:lvl>
    <w:lvl w:ilvl="3" w:tplc="39887BBE">
      <w:numFmt w:val="bullet"/>
      <w:lvlText w:val="•"/>
      <w:lvlJc w:val="left"/>
      <w:pPr>
        <w:ind w:left="3439" w:hanging="329"/>
      </w:pPr>
      <w:rPr>
        <w:rFonts w:hint="default"/>
        <w:lang w:val="pt-PT" w:eastAsia="en-US" w:bidi="ar-SA"/>
      </w:rPr>
    </w:lvl>
    <w:lvl w:ilvl="4" w:tplc="9A80C100">
      <w:numFmt w:val="bullet"/>
      <w:lvlText w:val="•"/>
      <w:lvlJc w:val="left"/>
      <w:pPr>
        <w:ind w:left="4246" w:hanging="329"/>
      </w:pPr>
      <w:rPr>
        <w:rFonts w:hint="default"/>
        <w:lang w:val="pt-PT" w:eastAsia="en-US" w:bidi="ar-SA"/>
      </w:rPr>
    </w:lvl>
    <w:lvl w:ilvl="5" w:tplc="94807A06">
      <w:numFmt w:val="bullet"/>
      <w:lvlText w:val="•"/>
      <w:lvlJc w:val="left"/>
      <w:pPr>
        <w:ind w:left="5053" w:hanging="329"/>
      </w:pPr>
      <w:rPr>
        <w:rFonts w:hint="default"/>
        <w:lang w:val="pt-PT" w:eastAsia="en-US" w:bidi="ar-SA"/>
      </w:rPr>
    </w:lvl>
    <w:lvl w:ilvl="6" w:tplc="D5CC72EE">
      <w:numFmt w:val="bullet"/>
      <w:lvlText w:val="•"/>
      <w:lvlJc w:val="left"/>
      <w:pPr>
        <w:ind w:left="5859" w:hanging="329"/>
      </w:pPr>
      <w:rPr>
        <w:rFonts w:hint="default"/>
        <w:lang w:val="pt-PT" w:eastAsia="en-US" w:bidi="ar-SA"/>
      </w:rPr>
    </w:lvl>
    <w:lvl w:ilvl="7" w:tplc="A2226D9A">
      <w:numFmt w:val="bullet"/>
      <w:lvlText w:val="•"/>
      <w:lvlJc w:val="left"/>
      <w:pPr>
        <w:ind w:left="6666" w:hanging="329"/>
      </w:pPr>
      <w:rPr>
        <w:rFonts w:hint="default"/>
        <w:lang w:val="pt-PT" w:eastAsia="en-US" w:bidi="ar-SA"/>
      </w:rPr>
    </w:lvl>
    <w:lvl w:ilvl="8" w:tplc="130E6600">
      <w:numFmt w:val="bullet"/>
      <w:lvlText w:val="•"/>
      <w:lvlJc w:val="left"/>
      <w:pPr>
        <w:ind w:left="7473" w:hanging="32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A8"/>
    <w:rsid w:val="001B23CC"/>
    <w:rsid w:val="001F2550"/>
    <w:rsid w:val="00332FD8"/>
    <w:rsid w:val="003818A0"/>
    <w:rsid w:val="00546701"/>
    <w:rsid w:val="00547E9E"/>
    <w:rsid w:val="006B07AA"/>
    <w:rsid w:val="006F2196"/>
    <w:rsid w:val="00794BBB"/>
    <w:rsid w:val="009C55A2"/>
    <w:rsid w:val="00A37660"/>
    <w:rsid w:val="00B7160E"/>
    <w:rsid w:val="00BF64A8"/>
    <w:rsid w:val="00C6186F"/>
    <w:rsid w:val="00CA34AC"/>
    <w:rsid w:val="00E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933E"/>
  <w15:docId w15:val="{B33109B3-B448-4B92-AF1D-1E566E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"/>
      <w:ind w:left="2662" w:right="2451"/>
      <w:jc w:val="center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9"/>
      <w:ind w:left="1022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gep.ufes.br/sites/progep.ufes.br/files/field/anexo/tutorial_inclusao_de_ause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cronograma_frequencia_e_pgd_maio 2024</dc:title>
  <dc:creator>Marlene Fontoura</dc:creator>
  <cp:lastModifiedBy>Usuario</cp:lastModifiedBy>
  <cp:revision>6</cp:revision>
  <cp:lastPrinted>2024-11-26T10:49:00Z</cp:lastPrinted>
  <dcterms:created xsi:type="dcterms:W3CDTF">2025-01-28T10:08:00Z</dcterms:created>
  <dcterms:modified xsi:type="dcterms:W3CDTF">2025-05-05T17:17:00Z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Microsoft: Print To PDF</vt:lpwstr>
  </property>
</Properties>
</file>